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tbl>
      <w:tblPr>
        <w:tblStyle w:val="Table1"/>
        <w:tblW w:w="14025.0" w:type="dxa"/>
        <w:jc w:val="left"/>
        <w:tblInd w:w="-645.0" w:type="dxa"/>
        <w:tblLayout w:type="fixed"/>
        <w:tblLook w:val="0400"/>
      </w:tblPr>
      <w:tblGrid>
        <w:gridCol w:w="4950"/>
        <w:gridCol w:w="4140"/>
        <w:gridCol w:w="4935"/>
        <w:tblGridChange w:id="0">
          <w:tblGrid>
            <w:gridCol w:w="4950"/>
            <w:gridCol w:w="4140"/>
            <w:gridCol w:w="4935"/>
          </w:tblGrid>
        </w:tblGridChange>
      </w:tblGrid>
      <w:tr>
        <w:trPr>
          <w:cantSplit w:val="0"/>
          <w:trHeight w:val="668.61328125" w:hRule="atLeast"/>
          <w:tblHeader w:val="1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</w:rPr>
              <w:drawing>
                <wp:inline distB="114300" distT="114300" distL="114300" distR="114300">
                  <wp:extent cx="3009900" cy="1854200"/>
                  <wp:effectExtent b="0" l="0" r="0" t="0"/>
                  <wp:docPr id="32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85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Nombre de la práctica: </w:t>
            </w:r>
          </w:p>
          <w:p w:rsidR="00000000" w:rsidDel="00000000" w:rsidP="00000000" w:rsidRDefault="00000000" w:rsidRPr="00000000" w14:paraId="00000005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Consulta Ciudadana para elegir el proyecto de remodelación de la Plaza Cívica</w:t>
            </w:r>
          </w:p>
        </w:tc>
      </w:tr>
      <w:tr>
        <w:trPr>
          <w:cantSplit w:val="0"/>
          <w:trHeight w:val="63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Ayuntamiento de San Antonio la Isla</w:t>
            </w:r>
          </w:p>
        </w:tc>
      </w:tr>
      <w:tr>
        <w:trPr>
          <w:cantSplit w:val="0"/>
          <w:trHeight w:val="668.61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Comisión Edilicia, Coordinación de Comunicación Social y Unidad de Transparencia</w:t>
            </w:r>
          </w:p>
        </w:tc>
      </w:tr>
      <w:tr>
        <w:trPr>
          <w:cantSplit w:val="0"/>
          <w:trHeight w:val="67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1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  <w:highlight w:val="whit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1155cc"/>
                  <w:u w:val="single"/>
                  <w:rtl w:val="0"/>
                </w:rPr>
                <w:t xml:space="preserve">https://sanantoniolaisla.gob.mx/consulta-ciudadana/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Vigente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Alcance: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Municipal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.48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Estado de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 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100</w:t>
            </w:r>
          </w:p>
        </w:tc>
      </w:tr>
    </w:tbl>
    <w:p w:rsidR="00000000" w:rsidDel="00000000" w:rsidP="00000000" w:rsidRDefault="00000000" w:rsidRPr="00000000" w14:paraId="00000019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3905.0" w:type="dxa"/>
        <w:jc w:val="left"/>
        <w:tblInd w:w="-572.0" w:type="dxa"/>
        <w:tblLayout w:type="fixed"/>
        <w:tblLook w:val="0400"/>
      </w:tblPr>
      <w:tblGrid>
        <w:gridCol w:w="6120"/>
        <w:gridCol w:w="7785"/>
        <w:tblGridChange w:id="0">
          <w:tblGrid>
            <w:gridCol w:w="6120"/>
            <w:gridCol w:w="7785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 un micrositio que brinda información relevante sobre el proceso de consulta ciudadana en el que se eligió el proyecto a desarrollar la remodelación de la plaza municipal, proporcionándoles un espacio de expresión mediante una encuesta ciudadana, transparentando los resultado de la votación,  poniendo a disposición todo el proceso de una forma clara y sencilla, de manera física y digital donde la población puede acceder a los resultados en formato de datos abiertos CSV. A fin de promover la participación ciudadana, cuenta con una encuesta de satisfacción de la información que permite recuperar comentarios sobre la información presentada. 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Objetivo:</w:t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Fomentar la participación ciudadana en la toma de decisiones.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</w:p>
          <w:p w:rsidR="00000000" w:rsidDel="00000000" w:rsidP="00000000" w:rsidRDefault="00000000" w:rsidRPr="00000000" w14:paraId="00000020">
            <w:pPr>
              <w:spacing w:after="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Surge de  la problemática suscitada con motivo de la remodelación de la plaza cívica.</w:t>
            </w:r>
          </w:p>
        </w:tc>
      </w:tr>
      <w:tr>
        <w:trPr>
          <w:cantSplit w:val="0"/>
          <w:trHeight w:val="992.4143066406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Beneficios o 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  <w:rtl w:val="0"/>
              </w:rPr>
              <w:t xml:space="preserve">fectos positivos generados a partir de la información difundida.</w:t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Participación ciudadana en la toma de decisiones en materia de obra pública.</w:t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ind w:left="0" w:firstLine="0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Legitimación de las acciones del gobierno municipal. </w:t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ind w:left="0" w:firstLine="0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Solucionar el conflicto social.</w:t>
            </w:r>
          </w:p>
        </w:tc>
      </w:tr>
      <w:tr>
        <w:trPr>
          <w:cantSplit w:val="0"/>
          <w:trHeight w:val="8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¿La práctica cuenta con mecanismos de participación ciudadana durante el proceso?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Si, a través de su encuesta de satisfacción que aplican al término en el micrositio.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8">
            <w:pPr>
              <w:spacing w:after="0" w:line="24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¿La práctica cuenta con algún registro del número de consultas realizadas a la información difundida?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Si, cuenta con contador de visitas.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Observaciones: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highlight w:val="yellow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información remitida, se advierte que cuenta con los elementos suficientes para considerarse una Práctica de Transparencia Proactiva, al apreciarse los atributos de calidad de la información,  la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contabilización de consultas, la participación ciudadana, los efectos positivos y los medios alternos de difusión de la información.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spacing w:after="0" w:line="240" w:lineRule="auto"/>
        <w:ind w:left="-708" w:firstLine="0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57j57ri8u14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y2fdnbofth29" w:id="2"/>
      <w:bookmarkEnd w:id="2"/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EVALUACIÓN</w:t>
      </w:r>
    </w:p>
    <w:p w:rsidR="00000000" w:rsidDel="00000000" w:rsidP="00000000" w:rsidRDefault="00000000" w:rsidRPr="00000000" w14:paraId="0000002F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0"/>
      </w:sdtPr>
      <w:sdtContent>
        <w:tbl>
          <w:tblPr>
            <w:tblStyle w:val="Table3"/>
            <w:tblW w:w="14040.0" w:type="dxa"/>
            <w:jc w:val="left"/>
            <w:tblInd w:w="-768.0000000000001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560"/>
            <w:gridCol w:w="1320"/>
            <w:gridCol w:w="2985"/>
            <w:gridCol w:w="5175"/>
            <w:tblGridChange w:id="0">
              <w:tblGrid>
                <w:gridCol w:w="4560"/>
                <w:gridCol w:w="1320"/>
                <w:gridCol w:w="2985"/>
                <w:gridCol w:w="5175"/>
              </w:tblGrid>
            </w:tblGridChange>
          </w:tblGrid>
          <w:tr>
            <w:trPr>
              <w:cantSplit w:val="0"/>
              <w:trHeight w:val="420" w:hRule="atLeast"/>
              <w:tblHeader w:val="0"/>
            </w:trPr>
            <w:tc>
              <w:tcPr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CRITERIOS A EVALUAR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PUNTOS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COMENTARIOS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EVIDENCIA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bottom w:color="000000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1. Calidad de la información (0 a 4)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Accesible</w:t>
                </w:r>
              </w:p>
              <w:p w:rsidR="00000000" w:rsidDel="00000000" w:rsidP="00000000" w:rsidRDefault="00000000" w:rsidRPr="00000000" w14:paraId="0000003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esté presentada de tal manera que todas las personas puedan consultarla,</w:t>
                </w:r>
              </w:p>
              <w:p w:rsidR="00000000" w:rsidDel="00000000" w:rsidP="00000000" w:rsidRDefault="00000000" w:rsidRPr="00000000" w14:paraId="0000003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examinarla y utilizarla independientemente de sus capacidades técnicas, cognitivas o</w:t>
                </w:r>
              </w:p>
              <w:p w:rsidR="00000000" w:rsidDel="00000000" w:rsidP="00000000" w:rsidRDefault="00000000" w:rsidRPr="00000000" w14:paraId="0000003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físicas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Cualquier persona puede consultarlo y se encuentra alojado en la página oficial del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838450" cy="1270000"/>
                      <wp:effectExtent b="0" l="0" r="0" t="0"/>
                      <wp:docPr id="325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38450" cy="1270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Confiable</w:t>
                </w:r>
              </w:p>
              <w:p w:rsidR="00000000" w:rsidDel="00000000" w:rsidP="00000000" w:rsidRDefault="00000000" w:rsidRPr="00000000" w14:paraId="0000004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creíble y fidedigna y que proporcione elementos y/o datos que</w:t>
                </w:r>
              </w:p>
              <w:p w:rsidR="00000000" w:rsidDel="00000000" w:rsidP="00000000" w:rsidRDefault="00000000" w:rsidRPr="00000000" w14:paraId="0000004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permiten la identificación de su origen, fecha de generación, de emisión y difusión de la</w:t>
                </w:r>
              </w:p>
              <w:p w:rsidR="00000000" w:rsidDel="00000000" w:rsidP="00000000" w:rsidRDefault="00000000" w:rsidRPr="00000000" w14:paraId="0000004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misma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es vigente.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838450" cy="660400"/>
                      <wp:effectExtent b="0" l="0" r="0" t="0"/>
                      <wp:docPr id="324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38450" cy="660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64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Comprensible</w:t>
                </w:r>
              </w:p>
              <w:p w:rsidR="00000000" w:rsidDel="00000000" w:rsidP="00000000" w:rsidRDefault="00000000" w:rsidRPr="00000000" w14:paraId="0000004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sencilla, clara y entendible para cualquier persona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es presentada en un lenguaje sencillo y fácil de entender mediante videos e imágenes explicativas.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753552" cy="1571365"/>
                      <wp:effectExtent b="0" l="0" r="0" t="0"/>
                      <wp:docPr id="327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53552" cy="15713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307.22656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Oportuna</w:t>
                </w:r>
              </w:p>
              <w:p w:rsidR="00000000" w:rsidDel="00000000" w:rsidP="00000000" w:rsidRDefault="00000000" w:rsidRPr="00000000" w14:paraId="0000004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 publica a tiempo para preservar su valor y ser útil para la toma de</w:t>
                </w:r>
              </w:p>
              <w:p w:rsidR="00000000" w:rsidDel="00000000" w:rsidP="00000000" w:rsidRDefault="00000000" w:rsidRPr="00000000" w14:paraId="0000004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decisiones de las personas usuarias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Es oportuna porque ayuda a la toma de decisiones de los usuarios al conocer el tipo de obra que se puede elegir.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Veraz</w:t>
                </w:r>
              </w:p>
              <w:p w:rsidR="00000000" w:rsidDel="00000000" w:rsidP="00000000" w:rsidRDefault="00000000" w:rsidRPr="00000000" w14:paraId="0000005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exacta, refiera o manifieste siempre la verdad respecto de lo generado,</w:t>
                </w:r>
              </w:p>
              <w:p w:rsidR="00000000" w:rsidDel="00000000" w:rsidP="00000000" w:rsidRDefault="00000000" w:rsidRPr="00000000" w14:paraId="0000005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utilizado o publicitado por el Sujeto Obligado</w:t>
                </w:r>
              </w:p>
              <w:p w:rsidR="00000000" w:rsidDel="00000000" w:rsidP="00000000" w:rsidRDefault="00000000" w:rsidRPr="00000000" w14:paraId="0000005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encuentra basado en fuentes generadas por el sujeto obligado.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068537" cy="2713673"/>
                      <wp:effectExtent b="0" l="0" r="0" t="0"/>
                      <wp:docPr id="326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68537" cy="271367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  <w:p w:rsidR="00000000" w:rsidDel="00000000" w:rsidP="00000000" w:rsidRDefault="00000000" w:rsidRPr="00000000" w14:paraId="0000005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Congruente</w:t>
                </w:r>
              </w:p>
              <w:p w:rsidR="00000000" w:rsidDel="00000000" w:rsidP="00000000" w:rsidRDefault="00000000" w:rsidRPr="00000000" w14:paraId="0000005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mantiene relación y coherencia con otra información generada,</w:t>
                </w:r>
              </w:p>
              <w:p w:rsidR="00000000" w:rsidDel="00000000" w:rsidP="00000000" w:rsidRDefault="00000000" w:rsidRPr="00000000" w14:paraId="0000005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utilizada y/o publicada por 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Está relacionado con la información que obra en expedientes del Sujeto Obligado.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Verificable</w:t>
                </w:r>
              </w:p>
              <w:p w:rsidR="00000000" w:rsidDel="00000000" w:rsidP="00000000" w:rsidRDefault="00000000" w:rsidRPr="00000000" w14:paraId="0000006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posible comprobar la veracidad de la información, así como</w:t>
                </w:r>
              </w:p>
              <w:p w:rsidR="00000000" w:rsidDel="00000000" w:rsidP="00000000" w:rsidRDefault="00000000" w:rsidRPr="00000000" w14:paraId="0000006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 el método por el cual el Sujeto Obligado la generó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Permite constatar la información compartida con la normatividad aplicable.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Completa</w:t>
                </w:r>
              </w:p>
              <w:p w:rsidR="00000000" w:rsidDel="00000000" w:rsidP="00000000" w:rsidRDefault="00000000" w:rsidRPr="00000000" w14:paraId="0000006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proporcione todos los datos, aspectos, partes o referentes necesarios</w:t>
                </w:r>
              </w:p>
              <w:p w:rsidR="00000000" w:rsidDel="00000000" w:rsidP="00000000" w:rsidRDefault="00000000" w:rsidRPr="00000000" w14:paraId="0000006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para ser global respecto del quehacer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Proporciona información y datos del quehacer del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934527" cy="1795727"/>
                      <wp:effectExtent b="0" l="0" r="0" t="0"/>
                      <wp:docPr id="329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34527" cy="179572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Actual</w:t>
                </w:r>
              </w:p>
              <w:p w:rsidR="00000000" w:rsidDel="00000000" w:rsidP="00000000" w:rsidRDefault="00000000" w:rsidRPr="00000000" w14:paraId="0000007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la última versión de la información y es resultado de la adición,</w:t>
                </w:r>
              </w:p>
              <w:p w:rsidR="00000000" w:rsidDel="00000000" w:rsidP="00000000" w:rsidRDefault="00000000" w:rsidRPr="00000000" w14:paraId="0000007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modificación o generación de datos a partir de las acciones y actividades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Presenta resultados del tema de interés actual como un mecanismo de rendición de cuentas.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306002" cy="1779163"/>
                      <wp:effectExtent b="0" l="0" r="0" t="0"/>
                      <wp:docPr id="328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06002" cy="177916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Datos abiertos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información estadística del resultado de la consulta ciudadana en formato CSV.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201102" cy="1015790"/>
                      <wp:effectExtent b="0" l="0" r="0" t="0"/>
                      <wp:docPr id="331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1102" cy="10157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2. Contabilización de consultas o reutilización de la información en medios de difusión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Existencia de mecanismos de registro de consultas y/o reutilización de información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contador de visitas.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303643" cy="1713547"/>
                      <wp:effectExtent b="0" l="0" r="0" t="0"/>
                      <wp:docPr id="330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03643" cy="171354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47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Aprovechamiento del registro de consultas y/o reutilización de la información publicada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6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conoce el impacto en la ciudadanía.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25102" cy="1596010"/>
                      <wp:effectExtent b="0" l="0" r="0" t="0"/>
                      <wp:docPr id="334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5102" cy="159601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  <w:p w:rsidR="00000000" w:rsidDel="00000000" w:rsidP="00000000" w:rsidRDefault="00000000" w:rsidRPr="00000000" w14:paraId="0000008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75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3. La participación ciudadana efectiva e informada en el proceso de publicación y difusión de información proactiva (0 a 10)</w:t>
                </w:r>
              </w:p>
            </w:tc>
          </w:tr>
          <w:tr>
            <w:trPr>
              <w:cantSplit w:val="0"/>
              <w:trHeight w:val="223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implementación de mecanismos de participación ciudadana, como encuestas, estudios de opinión, o cualquier otro ejercicio que derive en la aplicación de algún instrumento o herramienta que posibilite la apertura de las instituciones públicas hacia la participación efectiva de la población que haga uso de la información publicada de manera proactiva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encuesta de satisfacción de la información.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256050" cy="1199597"/>
                      <wp:effectExtent b="0" l="0" r="0" t="0"/>
                      <wp:docPr id="332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56050" cy="11995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23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aprovechamiento de los mecanismos de participación ciudadana para la mejora de la publicación y difusión de información proactiva.</w:t>
                </w:r>
              </w:p>
            </w:tc>
            <w:tc>
              <w:tcPr>
                <w:tcBorders>
                  <w:bottom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Para conocer si el contenido es de utilidad para la ciudadanía y generar mejoras.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810827" cy="1752729"/>
                      <wp:effectExtent b="0" l="0" r="0" t="0"/>
                      <wp:docPr id="333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10827" cy="175272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4. Efectos positivos generados a partir de la información difundida en el marco de la política de TP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diseño e implementación de mecanismos de evaluación de la política de transparencia proactiva por parte de cada Sujeto Obligado</w:t>
                </w:r>
              </w:p>
            </w:tc>
            <w:tc>
              <w:tcPr>
                <w:tcBorders>
                  <w:top w:color="000000" w:space="0" w:sz="8" w:val="single"/>
                  <w:bottom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1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Participación ciudadana y solución del conflicto social.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2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096577" cy="736435"/>
                      <wp:effectExtent b="0" l="0" r="0" t="0"/>
                      <wp:docPr id="335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2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96577" cy="7364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5. La difusión de la información proactiva en medios distintos al internet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Utilización e implementación de medios alternativos de divulgación de la información proactiva, como radiodifusión, televisión, medios impresos, lonas, perifoneo, pláticas informativas, asesorías, volantes, sistemas de comunicación para personas con discapacidad y otras herramientas específicas dirigidas a grupos con dificultades de uso y acceso a tecnologías de la información.</w:t>
                </w:r>
              </w:p>
            </w:tc>
            <w:tc>
              <w:tcPr>
                <w:tcBorders>
                  <w:top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ha difundido a través de  redes sociales.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306002" cy="1723303"/>
                      <wp:effectExtent b="0" l="0" r="0" t="0"/>
                      <wp:docPr id="336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2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06002" cy="172330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A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22" w:type="default"/>
      <w:footerReference r:id="rId23" w:type="default"/>
      <w:pgSz w:h="12240" w:w="15840" w:orient="landscape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E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337" name="image4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4.png"/>
                  <pic:cNvPicPr preferRelativeResize="0"/>
                </pic:nvPicPr>
                <pic:blipFill>
                  <a:blip r:embed="rId1"/>
                  <a:srcRect b="25357" l="27474" r="25000" t="5795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-1076323</wp:posOffset>
          </wp:positionH>
          <wp:positionV relativeFrom="paragraph">
            <wp:posOffset>-180338</wp:posOffset>
          </wp:positionV>
          <wp:extent cx="10058400" cy="7805103"/>
          <wp:effectExtent b="0" l="0" r="0" t="0"/>
          <wp:wrapNone/>
          <wp:docPr descr="Imagen que contiene Gráfico de superficie&#10;&#10;Descripción generada automáticamente" id="338" name="image1.png"/>
          <a:graphic>
            <a:graphicData uri="http://schemas.openxmlformats.org/drawingml/2006/picture">
              <pic:pic>
                <pic:nvPicPr>
                  <pic:cNvPr descr="Imagen que contiene Gráfico de superficie&#10;&#10;Descripción generada automáticamente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58400" cy="780510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11" Type="http://schemas.openxmlformats.org/officeDocument/2006/relationships/image" Target="media/image6.png"/><Relationship Id="rId22" Type="http://schemas.openxmlformats.org/officeDocument/2006/relationships/header" Target="header1.xml"/><Relationship Id="rId10" Type="http://schemas.openxmlformats.org/officeDocument/2006/relationships/image" Target="media/image7.png"/><Relationship Id="rId21" Type="http://schemas.openxmlformats.org/officeDocument/2006/relationships/image" Target="media/image9.png"/><Relationship Id="rId13" Type="http://schemas.openxmlformats.org/officeDocument/2006/relationships/image" Target="media/image12.png"/><Relationship Id="rId12" Type="http://schemas.openxmlformats.org/officeDocument/2006/relationships/image" Target="media/image2.png"/><Relationship Id="rId23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14.png"/><Relationship Id="rId14" Type="http://schemas.openxmlformats.org/officeDocument/2006/relationships/image" Target="media/image15.png"/><Relationship Id="rId17" Type="http://schemas.openxmlformats.org/officeDocument/2006/relationships/image" Target="media/image3.png"/><Relationship Id="rId16" Type="http://schemas.openxmlformats.org/officeDocument/2006/relationships/image" Target="media/image16.png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6" Type="http://schemas.openxmlformats.org/officeDocument/2006/relationships/customXml" Target="../customXML/item1.xml"/><Relationship Id="rId18" Type="http://schemas.openxmlformats.org/officeDocument/2006/relationships/image" Target="media/image13.png"/><Relationship Id="rId7" Type="http://schemas.openxmlformats.org/officeDocument/2006/relationships/image" Target="media/image5.png"/><Relationship Id="rId8" Type="http://schemas.openxmlformats.org/officeDocument/2006/relationships/hyperlink" Target="https://sanantoniolaisla.gob.mx/consulta-ciudadana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mS5L9+hJSZP/8teuiHh7NydXvQ==">CgMxLjAaHwoBMBIaChgICVIUChJ0YWJsZS5laGttNzJ5NHgzc24yCWguMzBqMHpsbDINaC41N2o1N3JpOHUxNDIOaC55MmZkbmJvZnRoMjk4AHIhMUEzbktBbURhZjlUdnJsZHdzWEdTLW40d0VXYk1kNVRx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